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0AAD7" w14:textId="34BEFB56" w:rsidR="00A934A2" w:rsidRPr="00D31F40" w:rsidRDefault="007262C4" w:rsidP="00D31F40">
      <w:pPr>
        <w:pStyle w:val="Ttulo21"/>
        <w:rPr>
          <w:sz w:val="24"/>
          <w:szCs w:val="24"/>
        </w:rPr>
      </w:pPr>
      <w:r w:rsidRPr="00D31F40">
        <w:rPr>
          <w:sz w:val="24"/>
          <w:szCs w:val="24"/>
        </w:rPr>
        <w:t>DECRETO</w:t>
      </w:r>
      <w:r w:rsidR="00D31F40" w:rsidRPr="00D31F40">
        <w:rPr>
          <w:sz w:val="24"/>
          <w:szCs w:val="24"/>
        </w:rPr>
        <w:t xml:space="preserve"> LEGISLATIVO</w:t>
      </w:r>
      <w:r w:rsidRPr="00D31F40">
        <w:rPr>
          <w:sz w:val="24"/>
          <w:szCs w:val="24"/>
        </w:rPr>
        <w:t xml:space="preserve"> N</w:t>
      </w:r>
      <w:r w:rsidR="00D31F40" w:rsidRPr="00D31F40">
        <w:rPr>
          <w:sz w:val="24"/>
          <w:szCs w:val="24"/>
        </w:rPr>
        <w:t>º. 002</w:t>
      </w:r>
      <w:r w:rsidR="0042366D">
        <w:rPr>
          <w:sz w:val="24"/>
          <w:szCs w:val="24"/>
        </w:rPr>
        <w:t>/2024</w:t>
      </w:r>
    </w:p>
    <w:p w14:paraId="04E6B394" w14:textId="77777777" w:rsidR="00A934A2" w:rsidRPr="00D31F40" w:rsidRDefault="00A934A2" w:rsidP="00D31F40">
      <w:pPr>
        <w:jc w:val="both"/>
      </w:pPr>
    </w:p>
    <w:p w14:paraId="2183F475" w14:textId="785C72C2" w:rsidR="00A934A2" w:rsidRPr="00D31F40" w:rsidRDefault="007262C4" w:rsidP="00D31F40">
      <w:pPr>
        <w:pStyle w:val="Default"/>
        <w:ind w:left="3402" w:right="170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  <w:b/>
          <w:bCs/>
          <w:iCs/>
          <w:color w:val="auto"/>
        </w:rPr>
        <w:t xml:space="preserve">REGULAMENTA O DISPOSTO NO ART. 20 DA LEI Nº 14.133, DE 1º DE ABRIL DE 2021, PARA ESTABELECER O ENQUADRAMENTO DOS BENS DE CONSUMO ADQUIRIDOS PARA SUPRIR AS </w:t>
      </w:r>
      <w:r w:rsidR="00D31F40" w:rsidRPr="00D31F40">
        <w:rPr>
          <w:rFonts w:ascii="Times New Roman" w:hAnsi="Times New Roman" w:cs="Times New Roman"/>
          <w:b/>
          <w:bCs/>
          <w:iCs/>
          <w:color w:val="auto"/>
        </w:rPr>
        <w:t>NECESSIDADES</w:t>
      </w:r>
      <w:r w:rsidRPr="00D31F40">
        <w:rPr>
          <w:rFonts w:ascii="Times New Roman" w:hAnsi="Times New Roman" w:cs="Times New Roman"/>
          <w:b/>
          <w:bCs/>
          <w:iCs/>
          <w:color w:val="auto"/>
        </w:rPr>
        <w:t xml:space="preserve"> DA </w:t>
      </w:r>
      <w:r w:rsidR="006F7DF2">
        <w:rPr>
          <w:rFonts w:ascii="Times New Roman" w:hAnsi="Times New Roman" w:cs="Times New Roman"/>
          <w:b/>
          <w:bCs/>
          <w:iCs/>
          <w:color w:val="auto"/>
        </w:rPr>
        <w:t>CÂMARA MUNICIPAL DE PIAU</w:t>
      </w:r>
      <w:r w:rsidR="00D31F40" w:rsidRPr="00D31F40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Pr="00D31F40">
        <w:rPr>
          <w:rFonts w:ascii="Times New Roman" w:hAnsi="Times New Roman" w:cs="Times New Roman"/>
          <w:b/>
          <w:bCs/>
          <w:iCs/>
          <w:color w:val="auto"/>
        </w:rPr>
        <w:t>-</w:t>
      </w:r>
      <w:r w:rsidR="00D31F40" w:rsidRPr="00D31F40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FA047C">
        <w:rPr>
          <w:rFonts w:ascii="Times New Roman" w:hAnsi="Times New Roman" w:cs="Times New Roman"/>
          <w:b/>
          <w:bCs/>
          <w:iCs/>
          <w:color w:val="auto"/>
        </w:rPr>
        <w:t>MG</w:t>
      </w:r>
      <w:r w:rsidRPr="00D31F40">
        <w:rPr>
          <w:rFonts w:ascii="Times New Roman" w:hAnsi="Times New Roman" w:cs="Times New Roman"/>
          <w:b/>
          <w:bCs/>
          <w:iCs/>
          <w:color w:val="auto"/>
        </w:rPr>
        <w:t xml:space="preserve">, NAS CATEGORIAS DE QUALIDADE COMUM E DE LUXO. </w:t>
      </w:r>
    </w:p>
    <w:p w14:paraId="5E45EF1D" w14:textId="77777777" w:rsidR="00A934A2" w:rsidRPr="00D31F40" w:rsidRDefault="00A934A2" w:rsidP="00D31F40">
      <w:pPr>
        <w:jc w:val="both"/>
      </w:pPr>
    </w:p>
    <w:p w14:paraId="1DF8D88C" w14:textId="6DC9A6EF" w:rsidR="00D31F40" w:rsidRPr="00D31F40" w:rsidRDefault="00D31F40" w:rsidP="00D31F40">
      <w:pPr>
        <w:tabs>
          <w:tab w:val="left" w:pos="0"/>
        </w:tabs>
        <w:ind w:firstLine="1701"/>
        <w:jc w:val="both"/>
      </w:pPr>
      <w:r w:rsidRPr="00D31F40">
        <w:t xml:space="preserve">A MESA DIRETORA DA </w:t>
      </w:r>
      <w:r w:rsidR="00E23BE5">
        <w:t>CÂMARA MUNICIPAL DE PIAU, ESTADO DE MINAS GERAIS</w:t>
      </w:r>
      <w:r w:rsidRPr="00D31F40">
        <w:t>, no uso de suas atribuições legais, e,</w:t>
      </w:r>
    </w:p>
    <w:p w14:paraId="6E982476" w14:textId="77777777" w:rsidR="00D31F40" w:rsidRPr="00D31F40" w:rsidRDefault="00D31F40" w:rsidP="00D31F40">
      <w:pPr>
        <w:tabs>
          <w:tab w:val="left" w:pos="0"/>
        </w:tabs>
        <w:ind w:firstLine="1701"/>
        <w:jc w:val="both"/>
      </w:pPr>
    </w:p>
    <w:p w14:paraId="5DBBA625" w14:textId="4CDDC208" w:rsidR="00D31F40" w:rsidRPr="00D31F40" w:rsidRDefault="00D31F40" w:rsidP="00D31F40">
      <w:pPr>
        <w:shd w:val="clear" w:color="auto" w:fill="FFFFFF"/>
        <w:ind w:right="141" w:firstLine="1701"/>
        <w:jc w:val="both"/>
      </w:pPr>
      <w:r w:rsidRPr="00D31F40">
        <w:rPr>
          <w:b/>
        </w:rPr>
        <w:t>- CONSIDERANDO</w:t>
      </w:r>
      <w:r w:rsidRPr="00D31F40">
        <w:t xml:space="preserve"> que a Lei nº 14.133, de 1º de abril de 2021, estabelece </w:t>
      </w:r>
      <w:r>
        <w:t xml:space="preserve">em </w:t>
      </w:r>
      <w:r w:rsidRPr="00D31F40">
        <w:t>seu art. 20, § 1º que os Poderes Executivo, Legislativo e Judiciário definirão em regulamento os limites para o enquadramento dos bens de consumo nas categorias comum e luxo.</w:t>
      </w:r>
    </w:p>
    <w:p w14:paraId="7448184D" w14:textId="77777777" w:rsidR="00A934A2" w:rsidRPr="00D31F40" w:rsidRDefault="00A934A2" w:rsidP="00D31F40">
      <w:pPr>
        <w:tabs>
          <w:tab w:val="left" w:pos="0"/>
        </w:tabs>
        <w:ind w:firstLine="1701"/>
        <w:jc w:val="both"/>
      </w:pPr>
    </w:p>
    <w:p w14:paraId="0CD92F39" w14:textId="77777777" w:rsidR="00A934A2" w:rsidRPr="00D31F40" w:rsidRDefault="007262C4" w:rsidP="00D31F40">
      <w:pPr>
        <w:tabs>
          <w:tab w:val="left" w:pos="0"/>
        </w:tabs>
        <w:ind w:firstLine="1701"/>
        <w:jc w:val="both"/>
        <w:rPr>
          <w:b/>
        </w:rPr>
      </w:pPr>
      <w:r w:rsidRPr="00D31F40">
        <w:rPr>
          <w:b/>
        </w:rPr>
        <w:t>DECRETA:</w:t>
      </w:r>
    </w:p>
    <w:p w14:paraId="02F54AE5" w14:textId="77777777" w:rsidR="00A934A2" w:rsidRPr="00D31F40" w:rsidRDefault="00A934A2" w:rsidP="00D31F40">
      <w:pPr>
        <w:shd w:val="clear" w:color="auto" w:fill="FFFFFF"/>
        <w:ind w:right="141" w:firstLine="1701"/>
        <w:jc w:val="both"/>
        <w:rPr>
          <w:b/>
        </w:rPr>
      </w:pPr>
    </w:p>
    <w:p w14:paraId="4CBAB8A1" w14:textId="1BA50654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  <w:b/>
          <w:bCs/>
          <w:color w:val="auto"/>
        </w:rPr>
        <w:t>Art. 1º -</w:t>
      </w:r>
      <w:r w:rsidRPr="00D31F40">
        <w:rPr>
          <w:rFonts w:ascii="Times New Roman" w:hAnsi="Times New Roman" w:cs="Times New Roman"/>
          <w:color w:val="auto"/>
        </w:rPr>
        <w:t xml:space="preserve"> </w:t>
      </w:r>
      <w:r w:rsidRPr="00D31F40">
        <w:rPr>
          <w:rFonts w:ascii="Times New Roman" w:hAnsi="Times New Roman" w:cs="Times New Roman"/>
        </w:rPr>
        <w:t xml:space="preserve">Os bens de consumo a serem adquiridos para suprir as demandas da </w:t>
      </w:r>
      <w:r w:rsidR="006F7DF2">
        <w:rPr>
          <w:rFonts w:ascii="Times New Roman" w:hAnsi="Times New Roman" w:cs="Times New Roman"/>
        </w:rPr>
        <w:t>CÂMARA MUNICIPAL DE PIAU</w:t>
      </w:r>
      <w:r w:rsidR="00251473">
        <w:rPr>
          <w:rFonts w:ascii="Times New Roman" w:hAnsi="Times New Roman" w:cs="Times New Roman"/>
        </w:rPr>
        <w:t xml:space="preserve"> – MG</w:t>
      </w:r>
      <w:r w:rsidRPr="00D31F40">
        <w:rPr>
          <w:rFonts w:ascii="Times New Roman" w:hAnsi="Times New Roman" w:cs="Times New Roman"/>
        </w:rPr>
        <w:t xml:space="preserve"> deverão ser de qualidade comum, não superior à necessária para cumprir as finalidades às quais se destinam. </w:t>
      </w:r>
    </w:p>
    <w:p w14:paraId="57AEB450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5C9EA1BD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  <w:b/>
          <w:bCs/>
          <w:color w:val="auto"/>
        </w:rPr>
        <w:t>Art. 2º -</w:t>
      </w:r>
      <w:r w:rsidRPr="00D31F40">
        <w:rPr>
          <w:rFonts w:ascii="Times New Roman" w:hAnsi="Times New Roman" w:cs="Times New Roman"/>
          <w:color w:val="auto"/>
        </w:rPr>
        <w:t xml:space="preserve"> </w:t>
      </w:r>
      <w:r w:rsidRPr="00D31F40">
        <w:rPr>
          <w:rFonts w:ascii="Times New Roman" w:hAnsi="Times New Roman" w:cs="Times New Roman"/>
        </w:rPr>
        <w:t xml:space="preserve">Para os fins deste Decreto, considera-se: </w:t>
      </w:r>
    </w:p>
    <w:p w14:paraId="0ECEEE15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4385017B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</w:rPr>
        <w:t xml:space="preserve">I - bem de consumo: aquele que, em razão de seu uso corrente, perde normalmente sua identidade física ou tem sua utilização limitada a um prazo de, no máximo, dois anos contados de sua fabricação; </w:t>
      </w:r>
    </w:p>
    <w:p w14:paraId="0BA136A7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01BD5627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</w:rPr>
        <w:t xml:space="preserve">II - bem permanente: aquele que, em razão de seu uso corrente, não perde a sua identidade física ou foi fabricado com expectativa de durabilidade superior a dois anos, observados os demais parâmetros de classificação dispostos nos regulamentos existentes sobre a matéria; </w:t>
      </w:r>
    </w:p>
    <w:p w14:paraId="00CA5AB5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0B011C4F" w14:textId="2D5B1242" w:rsid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</w:rPr>
        <w:t>III - bem de categoria comum: aquele, de consumo ou permanente, cujas características e qualidade são estritamente as suficientes e necessárias para o atendimento do interesse público; e</w:t>
      </w:r>
    </w:p>
    <w:p w14:paraId="18A9D5B7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65CD25A3" w14:textId="105B1A64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</w:rPr>
        <w:t xml:space="preserve">IV - bem de categoria de luxo: aquele, de consumo ou permanente, cujas características e qualidade são superiores ao estritamente suficiente e necessário para o atendimento do interesse público, possuindo caráter de ostentação, forte apelo estético ou de afirmação de posição social, </w:t>
      </w:r>
      <w:r w:rsidR="005747F1">
        <w:rPr>
          <w:rFonts w:ascii="Times New Roman" w:hAnsi="Times New Roman" w:cs="Times New Roman"/>
        </w:rPr>
        <w:t>bem como</w:t>
      </w:r>
      <w:r w:rsidRPr="00D31F40">
        <w:rPr>
          <w:rFonts w:ascii="Times New Roman" w:hAnsi="Times New Roman" w:cs="Times New Roman"/>
        </w:rPr>
        <w:t xml:space="preserve"> preço superior ao bem de categoria comum de mesma natureza. </w:t>
      </w:r>
    </w:p>
    <w:p w14:paraId="7EABF590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3C3CC0F1" w14:textId="4BBBE44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  <w:b/>
          <w:bCs/>
          <w:color w:val="auto"/>
        </w:rPr>
        <w:t>Art. 3º -</w:t>
      </w:r>
      <w:r w:rsidRPr="00D31F40">
        <w:rPr>
          <w:rFonts w:ascii="Times New Roman" w:hAnsi="Times New Roman" w:cs="Times New Roman"/>
          <w:color w:val="auto"/>
        </w:rPr>
        <w:t xml:space="preserve"> </w:t>
      </w:r>
      <w:r w:rsidRPr="00D31F40">
        <w:rPr>
          <w:rFonts w:ascii="Times New Roman" w:hAnsi="Times New Roman" w:cs="Times New Roman"/>
        </w:rPr>
        <w:t xml:space="preserve">É vedada a aquisição de bens de consumo e permanentes enquadrados na categoria de luxo, nos termos do disposto neste decreto. </w:t>
      </w:r>
    </w:p>
    <w:p w14:paraId="26B760DB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1602EFEB" w14:textId="16E0A020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  <w:b/>
          <w:bCs/>
        </w:rPr>
        <w:t>§ 1º</w:t>
      </w:r>
      <w:r w:rsidRPr="00D31F40">
        <w:rPr>
          <w:rFonts w:ascii="Times New Roman" w:hAnsi="Times New Roman" w:cs="Times New Roman"/>
        </w:rPr>
        <w:t xml:space="preserve"> - Excepcionalmente, mediante justificativa aprovada pela autoridade competente, poderão ser adquiridos bens de categoria de luxo nas seguintes hipóteses: </w:t>
      </w:r>
    </w:p>
    <w:p w14:paraId="5B8DC574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79490F82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</w:rPr>
        <w:t xml:space="preserve">I - quando, em decorrência de eventualidades do mercado, o bem de luxo for ofertado por preço equivalente ou inferior ao preço de bem de categoria comum da mesma natureza; ou </w:t>
      </w:r>
    </w:p>
    <w:p w14:paraId="22C70D48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4BDAA911" w14:textId="02E4E8E3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</w:rPr>
        <w:t xml:space="preserve">II - quando for demonstrada a essencialidade das características superiores do bem em face da competência do órgão ou entidade, a partir da aplicação de parâmetros objetivos identificados no âmbito dos estudos técnicos preliminares, do termo de referência ou do projeto básico. </w:t>
      </w:r>
    </w:p>
    <w:p w14:paraId="50A14311" w14:textId="77777777" w:rsidR="00D31F40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</w:p>
    <w:p w14:paraId="54E1B1A7" w14:textId="5F0210F0" w:rsidR="00A934A2" w:rsidRPr="00D31F40" w:rsidRDefault="00D31F40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D31F40">
        <w:rPr>
          <w:rFonts w:ascii="Times New Roman" w:hAnsi="Times New Roman" w:cs="Times New Roman"/>
          <w:b/>
          <w:bCs/>
        </w:rPr>
        <w:t>§ 2º -</w:t>
      </w:r>
      <w:r w:rsidRPr="00D31F40">
        <w:rPr>
          <w:rFonts w:ascii="Times New Roman" w:hAnsi="Times New Roman" w:cs="Times New Roman"/>
        </w:rPr>
        <w:t xml:space="preserve"> Nas hipóteses do § 1º, deverá ser identificado os bens de luxo, de consumo ou permanentes no Estudo Técnico Preliminar (ETP), ou ao tempo de elaboração do Termo de Referência ou Projeto Básico, quando o ETP não for elaborado, apresentando a competente justificativa.</w:t>
      </w:r>
    </w:p>
    <w:p w14:paraId="2CCC54EE" w14:textId="77777777" w:rsidR="00A934A2" w:rsidRPr="00D31F40" w:rsidRDefault="00A934A2" w:rsidP="00D31F40">
      <w:pPr>
        <w:pStyle w:val="Default"/>
        <w:ind w:left="-851" w:right="141"/>
        <w:jc w:val="both"/>
        <w:rPr>
          <w:rFonts w:ascii="Times New Roman" w:hAnsi="Times New Roman" w:cs="Times New Roman"/>
        </w:rPr>
      </w:pPr>
    </w:p>
    <w:p w14:paraId="05B4D59E" w14:textId="09D540A7" w:rsidR="00B93C2F" w:rsidRPr="00B93C2F" w:rsidRDefault="007262C4" w:rsidP="00B93C2F">
      <w:pPr>
        <w:pStyle w:val="Default"/>
        <w:ind w:right="170" w:firstLine="1701"/>
        <w:jc w:val="both"/>
        <w:rPr>
          <w:rFonts w:ascii="Times New Roman" w:hAnsi="Times New Roman" w:cs="Times New Roman"/>
          <w:color w:val="auto"/>
        </w:rPr>
      </w:pPr>
      <w:r w:rsidRPr="00B93C2F">
        <w:rPr>
          <w:rFonts w:ascii="Times New Roman" w:hAnsi="Times New Roman" w:cs="Times New Roman"/>
          <w:b/>
          <w:bCs/>
          <w:color w:val="auto"/>
        </w:rPr>
        <w:t xml:space="preserve">Art. </w:t>
      </w:r>
      <w:r w:rsidR="00D60E6C" w:rsidRPr="00B93C2F">
        <w:rPr>
          <w:rFonts w:ascii="Times New Roman" w:hAnsi="Times New Roman" w:cs="Times New Roman"/>
          <w:b/>
          <w:bCs/>
          <w:color w:val="auto"/>
        </w:rPr>
        <w:t>4</w:t>
      </w:r>
      <w:r w:rsidRPr="00B93C2F">
        <w:rPr>
          <w:rFonts w:ascii="Times New Roman" w:hAnsi="Times New Roman" w:cs="Times New Roman"/>
          <w:b/>
          <w:bCs/>
          <w:color w:val="auto"/>
        </w:rPr>
        <w:t>º -</w:t>
      </w:r>
      <w:r w:rsidRPr="00D31F40">
        <w:rPr>
          <w:rFonts w:ascii="Times New Roman" w:hAnsi="Times New Roman" w:cs="Times New Roman"/>
          <w:color w:val="auto"/>
        </w:rPr>
        <w:t xml:space="preserve"> </w:t>
      </w:r>
      <w:r w:rsidR="00B93C2F" w:rsidRPr="00B93C2F">
        <w:rPr>
          <w:rFonts w:ascii="Times New Roman" w:hAnsi="Times New Roman" w:cs="Times New Roman"/>
          <w:color w:val="auto"/>
        </w:rPr>
        <w:t>Poderão ser editadas instruções complementares para aplicação deste Decreto.</w:t>
      </w:r>
    </w:p>
    <w:p w14:paraId="120C8772" w14:textId="77777777" w:rsidR="00B93C2F" w:rsidRDefault="00B93C2F" w:rsidP="00D31F40">
      <w:pPr>
        <w:pStyle w:val="Default"/>
        <w:ind w:right="170" w:firstLine="1701"/>
        <w:jc w:val="both"/>
        <w:rPr>
          <w:rFonts w:ascii="Times New Roman" w:hAnsi="Times New Roman" w:cs="Times New Roman"/>
          <w:color w:val="auto"/>
        </w:rPr>
      </w:pPr>
    </w:p>
    <w:p w14:paraId="35E2E862" w14:textId="3F1E55FA" w:rsidR="00A934A2" w:rsidRPr="00D31F40" w:rsidRDefault="00B93C2F" w:rsidP="00D31F40">
      <w:pPr>
        <w:pStyle w:val="Default"/>
        <w:ind w:right="170" w:firstLine="1701"/>
        <w:jc w:val="both"/>
        <w:rPr>
          <w:rFonts w:ascii="Times New Roman" w:hAnsi="Times New Roman" w:cs="Times New Roman"/>
        </w:rPr>
      </w:pPr>
      <w:r w:rsidRPr="00B93C2F">
        <w:rPr>
          <w:rFonts w:ascii="Times New Roman" w:hAnsi="Times New Roman" w:cs="Times New Roman"/>
          <w:b/>
          <w:bCs/>
          <w:color w:val="auto"/>
        </w:rPr>
        <w:t xml:space="preserve">Art. </w:t>
      </w:r>
      <w:r>
        <w:rPr>
          <w:rFonts w:ascii="Times New Roman" w:hAnsi="Times New Roman" w:cs="Times New Roman"/>
          <w:b/>
          <w:bCs/>
          <w:color w:val="auto"/>
        </w:rPr>
        <w:t>5</w:t>
      </w:r>
      <w:r w:rsidRPr="00B93C2F">
        <w:rPr>
          <w:rFonts w:ascii="Times New Roman" w:hAnsi="Times New Roman" w:cs="Times New Roman"/>
          <w:b/>
          <w:bCs/>
          <w:color w:val="auto"/>
        </w:rPr>
        <w:t>º -</w:t>
      </w:r>
      <w:r w:rsidRPr="00D31F40">
        <w:rPr>
          <w:rFonts w:ascii="Times New Roman" w:hAnsi="Times New Roman" w:cs="Times New Roman"/>
          <w:color w:val="auto"/>
        </w:rPr>
        <w:t xml:space="preserve"> </w:t>
      </w:r>
      <w:r w:rsidR="007262C4" w:rsidRPr="00D31F40">
        <w:rPr>
          <w:rFonts w:ascii="Times New Roman" w:hAnsi="Times New Roman" w:cs="Times New Roman"/>
          <w:color w:val="auto"/>
        </w:rPr>
        <w:t xml:space="preserve">Este Decreto entra em vigor na data de sua publicação. </w:t>
      </w:r>
    </w:p>
    <w:p w14:paraId="5CF9BABC" w14:textId="77777777" w:rsidR="00A934A2" w:rsidRPr="00D31F40" w:rsidRDefault="00A934A2" w:rsidP="00D31F40">
      <w:pPr>
        <w:tabs>
          <w:tab w:val="left" w:pos="0"/>
        </w:tabs>
        <w:jc w:val="center"/>
      </w:pPr>
    </w:p>
    <w:p w14:paraId="4BA8A674" w14:textId="77777777" w:rsidR="00D31F40" w:rsidRPr="00FE4689" w:rsidRDefault="00D31F40" w:rsidP="00D31F40">
      <w:pPr>
        <w:tabs>
          <w:tab w:val="left" w:pos="0"/>
        </w:tabs>
        <w:ind w:firstLine="1701"/>
      </w:pPr>
      <w:r w:rsidRPr="00FE4689">
        <w:t>Registre-se, Publique-se e Cumpra-se.</w:t>
      </w:r>
    </w:p>
    <w:p w14:paraId="200691D9" w14:textId="77777777" w:rsidR="00D31F40" w:rsidRPr="00FE4689" w:rsidRDefault="00D31F40" w:rsidP="00D31F40">
      <w:pPr>
        <w:tabs>
          <w:tab w:val="left" w:pos="0"/>
        </w:tabs>
        <w:jc w:val="center"/>
        <w:rPr>
          <w:color w:val="C9211E"/>
        </w:rPr>
      </w:pPr>
    </w:p>
    <w:p w14:paraId="37160647" w14:textId="52A93457" w:rsidR="00D31F40" w:rsidRPr="00FE4689" w:rsidRDefault="00EA5B71" w:rsidP="00E23BE5">
      <w:pPr>
        <w:tabs>
          <w:tab w:val="left" w:pos="0"/>
        </w:tabs>
        <w:ind w:firstLine="1701"/>
        <w:jc w:val="right"/>
        <w:rPr>
          <w:color w:val="000000"/>
        </w:rPr>
      </w:pPr>
      <w:r>
        <w:rPr>
          <w:color w:val="000000"/>
        </w:rPr>
        <w:t>Piau/MG, 21 de fevereiro</w:t>
      </w:r>
      <w:bookmarkStart w:id="0" w:name="_GoBack"/>
      <w:bookmarkEnd w:id="0"/>
      <w:r w:rsidR="00E23BE5">
        <w:rPr>
          <w:color w:val="000000"/>
        </w:rPr>
        <w:t xml:space="preserve"> de 2024</w:t>
      </w:r>
      <w:r w:rsidR="00D31F40" w:rsidRPr="00FE4689">
        <w:rPr>
          <w:color w:val="000000"/>
        </w:rPr>
        <w:t>.</w:t>
      </w:r>
    </w:p>
    <w:p w14:paraId="3CD220BE" w14:textId="77777777" w:rsidR="003F72CE" w:rsidRDefault="003F72CE" w:rsidP="003F72CE">
      <w:pPr>
        <w:pStyle w:val="Ttul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</w:rPr>
        <w:t>Luiz Eduardo Condé</w:t>
      </w:r>
    </w:p>
    <w:p w14:paraId="643EE333" w14:textId="77777777" w:rsidR="003F72CE" w:rsidRDefault="003F72CE" w:rsidP="003F72CE">
      <w:pPr>
        <w:pStyle w:val="Corpodetex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 da Câmara Municipal de Piau</w:t>
      </w:r>
    </w:p>
    <w:p w14:paraId="69425492" w14:textId="77777777" w:rsidR="003F72CE" w:rsidRDefault="003F72CE" w:rsidP="003F72CE">
      <w:pPr>
        <w:pStyle w:val="Corpodetexto"/>
        <w:jc w:val="center"/>
        <w:rPr>
          <w:rFonts w:ascii="Arial" w:hAnsi="Arial" w:cs="Arial"/>
          <w:b/>
        </w:rPr>
      </w:pPr>
    </w:p>
    <w:p w14:paraId="30B35116" w14:textId="77777777" w:rsidR="003F72CE" w:rsidRDefault="003F72CE" w:rsidP="003F72CE">
      <w:pPr>
        <w:pStyle w:val="Corpodetexto"/>
        <w:jc w:val="center"/>
        <w:rPr>
          <w:rFonts w:ascii="Arial" w:hAnsi="Arial" w:cs="Arial"/>
          <w:b/>
        </w:rPr>
      </w:pPr>
    </w:p>
    <w:p w14:paraId="6A3A8FFB" w14:textId="77777777" w:rsidR="003F72CE" w:rsidRDefault="003F72CE" w:rsidP="003F72CE">
      <w:pPr>
        <w:pStyle w:val="Corpodetexto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3F72CE" w14:paraId="350782CE" w14:textId="77777777" w:rsidTr="001A0027">
        <w:trPr>
          <w:trHeight w:val="235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05CF0" w14:textId="77777777" w:rsidR="003F72CE" w:rsidRDefault="003F72CE" w:rsidP="001A0027">
            <w:pPr>
              <w:pStyle w:val="Ttul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Pedro Pereira Monteiro Neto</w:t>
            </w:r>
          </w:p>
          <w:p w14:paraId="41BA59E0" w14:textId="77777777" w:rsidR="003F72CE" w:rsidRDefault="003F72CE" w:rsidP="001A0027">
            <w:pPr>
              <w:pStyle w:val="Ttul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Vice-Presidente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6B56D" w14:textId="77777777" w:rsidR="003F72CE" w:rsidRDefault="003F72CE" w:rsidP="001A0027">
            <w:pPr>
              <w:pStyle w:val="Ttul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José Maria Mendes</w:t>
            </w:r>
          </w:p>
          <w:p w14:paraId="733AE246" w14:textId="77777777" w:rsidR="003F72CE" w:rsidRDefault="003F72CE" w:rsidP="001A0027">
            <w:pPr>
              <w:pStyle w:val="Ttul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Secretario</w:t>
            </w:r>
          </w:p>
        </w:tc>
      </w:tr>
    </w:tbl>
    <w:p w14:paraId="63B28BF7" w14:textId="77777777" w:rsidR="003F72CE" w:rsidRDefault="003F72CE" w:rsidP="003F72CE">
      <w:pPr>
        <w:pStyle w:val="Corpodetexto"/>
        <w:jc w:val="center"/>
        <w:rPr>
          <w:rFonts w:ascii="Arial" w:hAnsi="Arial" w:cs="Arial"/>
          <w:b/>
        </w:rPr>
      </w:pPr>
    </w:p>
    <w:p w14:paraId="53B05F44" w14:textId="77777777" w:rsidR="003F72CE" w:rsidRDefault="003F72CE" w:rsidP="003F72CE">
      <w:pPr>
        <w:pStyle w:val="Corpodetexto"/>
        <w:jc w:val="center"/>
        <w:rPr>
          <w:rFonts w:ascii="Arial" w:hAnsi="Arial" w:cs="Arial"/>
          <w:b/>
        </w:rPr>
      </w:pPr>
    </w:p>
    <w:p w14:paraId="30439A0E" w14:textId="77777777" w:rsidR="003F72CE" w:rsidRDefault="003F72CE" w:rsidP="003F72CE">
      <w:pPr>
        <w:pStyle w:val="Corpodetexto"/>
        <w:jc w:val="center"/>
        <w:rPr>
          <w:rFonts w:ascii="Arial" w:hAnsi="Arial" w:cs="Arial"/>
          <w:b/>
        </w:rPr>
      </w:pPr>
    </w:p>
    <w:p w14:paraId="5B9F14FC" w14:textId="77777777" w:rsidR="003F72CE" w:rsidRDefault="003F72CE" w:rsidP="003F72CE">
      <w:pPr>
        <w:pStyle w:val="Ttulo"/>
        <w:ind w:firstLine="708"/>
        <w:jc w:val="right"/>
        <w:outlineLvl w:val="0"/>
        <w:rPr>
          <w:rFonts w:ascii="Arial" w:hAnsi="Arial"/>
          <w:b/>
          <w:sz w:val="24"/>
        </w:rPr>
      </w:pPr>
    </w:p>
    <w:p w14:paraId="00F4F240" w14:textId="77777777" w:rsidR="003F72CE" w:rsidRDefault="003F72CE" w:rsidP="003F72CE">
      <w:pPr>
        <w:pStyle w:val="Ttulo"/>
        <w:ind w:firstLine="708"/>
        <w:jc w:val="right"/>
        <w:outlineLvl w:val="0"/>
        <w:rPr>
          <w:rFonts w:ascii="Arial" w:hAnsi="Arial"/>
          <w:b/>
          <w:sz w:val="24"/>
        </w:rPr>
      </w:pPr>
    </w:p>
    <w:p w14:paraId="4FFE278A" w14:textId="77777777" w:rsidR="003F72CE" w:rsidRDefault="003F72CE" w:rsidP="003F72CE">
      <w:pPr>
        <w:pStyle w:val="Ttulo"/>
        <w:jc w:val="both"/>
        <w:rPr>
          <w:rFonts w:ascii="Arial" w:hAnsi="Arial"/>
          <w:b/>
          <w:sz w:val="24"/>
        </w:rPr>
      </w:pPr>
    </w:p>
    <w:p w14:paraId="6A005DA2" w14:textId="77777777" w:rsidR="00A934A2" w:rsidRPr="00D31F40" w:rsidRDefault="00A934A2" w:rsidP="00D31F40">
      <w:pPr>
        <w:tabs>
          <w:tab w:val="left" w:pos="0"/>
        </w:tabs>
        <w:jc w:val="center"/>
      </w:pPr>
    </w:p>
    <w:sectPr w:rsidR="00A934A2" w:rsidRPr="00D31F40" w:rsidSect="000437E1">
      <w:headerReference w:type="default" r:id="rId7"/>
      <w:pgSz w:w="11906" w:h="16838"/>
      <w:pgMar w:top="2835" w:right="1134" w:bottom="1701" w:left="1701" w:header="709" w:footer="52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E8C91" w14:textId="77777777" w:rsidR="00372FA5" w:rsidRDefault="00372FA5" w:rsidP="00A934A2">
      <w:r>
        <w:separator/>
      </w:r>
    </w:p>
  </w:endnote>
  <w:endnote w:type="continuationSeparator" w:id="0">
    <w:p w14:paraId="530FF8C1" w14:textId="77777777" w:rsidR="00372FA5" w:rsidRDefault="00372FA5" w:rsidP="00A9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lackChancery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9586B" w14:textId="77777777" w:rsidR="00372FA5" w:rsidRDefault="00372FA5" w:rsidP="00A934A2">
      <w:r>
        <w:separator/>
      </w:r>
    </w:p>
  </w:footnote>
  <w:footnote w:type="continuationSeparator" w:id="0">
    <w:p w14:paraId="000B7428" w14:textId="77777777" w:rsidR="00372FA5" w:rsidRDefault="00372FA5" w:rsidP="00A9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76AC2" w14:textId="6411BADB" w:rsidR="00A934A2" w:rsidRDefault="00A934A2"/>
  <w:p w14:paraId="5A676F23" w14:textId="77777777" w:rsidR="00A934A2" w:rsidRDefault="00A934A2"/>
  <w:p w14:paraId="4D1F89AD" w14:textId="77777777" w:rsidR="00A934A2" w:rsidRDefault="00A934A2">
    <w:pPr>
      <w:rPr>
        <w:rFonts w:ascii="BlackChancery" w:hAnsi="BlackChancer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4A2"/>
    <w:rsid w:val="000437E1"/>
    <w:rsid w:val="00251473"/>
    <w:rsid w:val="0029529E"/>
    <w:rsid w:val="00372FA5"/>
    <w:rsid w:val="003A358E"/>
    <w:rsid w:val="003F72CE"/>
    <w:rsid w:val="0042366D"/>
    <w:rsid w:val="005060D8"/>
    <w:rsid w:val="005747F1"/>
    <w:rsid w:val="00575A5A"/>
    <w:rsid w:val="006670B0"/>
    <w:rsid w:val="006E03CC"/>
    <w:rsid w:val="006F7DF2"/>
    <w:rsid w:val="007262C4"/>
    <w:rsid w:val="00871774"/>
    <w:rsid w:val="00895CAB"/>
    <w:rsid w:val="00937103"/>
    <w:rsid w:val="009B7BCB"/>
    <w:rsid w:val="00A607D3"/>
    <w:rsid w:val="00A934A2"/>
    <w:rsid w:val="00B32953"/>
    <w:rsid w:val="00B93C2F"/>
    <w:rsid w:val="00D31F40"/>
    <w:rsid w:val="00D60E6C"/>
    <w:rsid w:val="00E23BE5"/>
    <w:rsid w:val="00EA5B71"/>
    <w:rsid w:val="00FA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1D28"/>
  <w15:docId w15:val="{F3829C0A-E186-4B25-B8A0-41BF08A9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E7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uiPriority w:val="9"/>
    <w:qFormat/>
    <w:rsid w:val="005A61D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qFormat/>
    <w:rsid w:val="005A61D0"/>
    <w:pPr>
      <w:keepNext/>
      <w:jc w:val="center"/>
      <w:outlineLvl w:val="1"/>
    </w:pPr>
    <w:rPr>
      <w:b/>
      <w:sz w:val="28"/>
      <w:szCs w:val="20"/>
    </w:rPr>
  </w:style>
  <w:style w:type="character" w:customStyle="1" w:styleId="LinkdaInternet">
    <w:name w:val="Link da Internet"/>
    <w:rsid w:val="00B71002"/>
    <w:rPr>
      <w:color w:val="0000FF"/>
      <w:u w:val="single"/>
    </w:rPr>
  </w:style>
  <w:style w:type="character" w:customStyle="1" w:styleId="Ttulo1Char">
    <w:name w:val="Título 1 Char"/>
    <w:link w:val="Ttulo11"/>
    <w:uiPriority w:val="9"/>
    <w:qFormat/>
    <w:rsid w:val="005A61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1"/>
    <w:qFormat/>
    <w:rsid w:val="005A61D0"/>
    <w:rPr>
      <w:b/>
      <w:sz w:val="28"/>
    </w:rPr>
  </w:style>
  <w:style w:type="character" w:customStyle="1" w:styleId="CorpodetextoChar">
    <w:name w:val="Corpo de texto Char"/>
    <w:link w:val="Corpodetexto"/>
    <w:qFormat/>
    <w:rsid w:val="005A61D0"/>
    <w:rPr>
      <w:sz w:val="24"/>
    </w:rPr>
  </w:style>
  <w:style w:type="character" w:customStyle="1" w:styleId="CabealhoChar">
    <w:name w:val="Cabeçalho Char"/>
    <w:basedOn w:val="Fontepargpadro"/>
    <w:qFormat/>
    <w:rsid w:val="00D378C7"/>
    <w:rPr>
      <w:sz w:val="24"/>
      <w:szCs w:val="24"/>
    </w:rPr>
  </w:style>
  <w:style w:type="character" w:customStyle="1" w:styleId="RodapChar">
    <w:name w:val="Rodapé Char"/>
    <w:basedOn w:val="Fontepargpadro"/>
    <w:qFormat/>
    <w:rsid w:val="00D378C7"/>
    <w:rPr>
      <w:sz w:val="24"/>
      <w:szCs w:val="24"/>
    </w:rPr>
  </w:style>
  <w:style w:type="character" w:customStyle="1" w:styleId="CabealhoChar1">
    <w:name w:val="Cabeçalho Char1"/>
    <w:basedOn w:val="Fontepargpadro"/>
    <w:link w:val="Cabealho1"/>
    <w:qFormat/>
    <w:rsid w:val="001F6E0C"/>
    <w:rPr>
      <w:sz w:val="24"/>
      <w:szCs w:val="24"/>
    </w:rPr>
  </w:style>
  <w:style w:type="character" w:customStyle="1" w:styleId="RodapChar1">
    <w:name w:val="Rodapé Char1"/>
    <w:basedOn w:val="Fontepargpadro"/>
    <w:link w:val="Rodap1"/>
    <w:qFormat/>
    <w:rsid w:val="001F6E0C"/>
    <w:rPr>
      <w:sz w:val="24"/>
      <w:szCs w:val="24"/>
    </w:rPr>
  </w:style>
  <w:style w:type="paragraph" w:styleId="Ttulo">
    <w:name w:val="Title"/>
    <w:basedOn w:val="Normal"/>
    <w:next w:val="Corpodetexto"/>
    <w:link w:val="TtuloChar"/>
    <w:qFormat/>
    <w:rsid w:val="007523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5A61D0"/>
    <w:pPr>
      <w:tabs>
        <w:tab w:val="left" w:pos="1701"/>
      </w:tabs>
      <w:jc w:val="both"/>
    </w:pPr>
    <w:rPr>
      <w:szCs w:val="20"/>
    </w:rPr>
  </w:style>
  <w:style w:type="paragraph" w:styleId="Lista">
    <w:name w:val="List"/>
    <w:basedOn w:val="Corpodetexto"/>
    <w:rsid w:val="0075239C"/>
    <w:rPr>
      <w:rFonts w:cs="Arial"/>
    </w:rPr>
  </w:style>
  <w:style w:type="paragraph" w:customStyle="1" w:styleId="Legenda1">
    <w:name w:val="Legenda1"/>
    <w:basedOn w:val="Normal"/>
    <w:qFormat/>
    <w:rsid w:val="0075239C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75239C"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  <w:rsid w:val="0075239C"/>
  </w:style>
  <w:style w:type="paragraph" w:customStyle="1" w:styleId="Cabealho1">
    <w:name w:val="Cabeçalho1"/>
    <w:basedOn w:val="Normal"/>
    <w:link w:val="CabealhoChar1"/>
    <w:rsid w:val="001F6E0C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1"/>
    <w:rsid w:val="001F6E0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qFormat/>
    <w:rsid w:val="00D037EF"/>
    <w:rPr>
      <w:rFonts w:ascii="Tahoma" w:hAnsi="Tahoma" w:cs="Tahoma"/>
      <w:sz w:val="16"/>
      <w:szCs w:val="16"/>
    </w:rPr>
  </w:style>
  <w:style w:type="paragraph" w:customStyle="1" w:styleId="Pargrafo">
    <w:name w:val="Parágrafo"/>
    <w:basedOn w:val="Normal"/>
    <w:qFormat/>
    <w:rsid w:val="004E3D06"/>
    <w:pPr>
      <w:spacing w:before="120" w:after="120"/>
      <w:ind w:firstLine="2268"/>
      <w:jc w:val="both"/>
    </w:pPr>
  </w:style>
  <w:style w:type="paragraph" w:customStyle="1" w:styleId="Default">
    <w:name w:val="Default"/>
    <w:qFormat/>
    <w:rsid w:val="00A934A2"/>
    <w:rPr>
      <w:rFonts w:ascii="Palatino Linotype" w:hAnsi="Palatino Linotype" w:cs="Palatino Linotype"/>
      <w:color w:val="000000"/>
      <w:sz w:val="24"/>
      <w:szCs w:val="24"/>
    </w:rPr>
  </w:style>
  <w:style w:type="table" w:styleId="Tabelacomgrade">
    <w:name w:val="Table Grid"/>
    <w:basedOn w:val="Tabelanormal"/>
    <w:rsid w:val="00623A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2"/>
    <w:rsid w:val="00D31F40"/>
    <w:pPr>
      <w:tabs>
        <w:tab w:val="center" w:pos="4252"/>
        <w:tab w:val="right" w:pos="8504"/>
      </w:tabs>
    </w:pPr>
  </w:style>
  <w:style w:type="character" w:customStyle="1" w:styleId="CabealhoChar2">
    <w:name w:val="Cabeçalho Char2"/>
    <w:basedOn w:val="Fontepargpadro"/>
    <w:link w:val="Cabealho"/>
    <w:rsid w:val="00D31F40"/>
    <w:rPr>
      <w:sz w:val="24"/>
      <w:szCs w:val="24"/>
    </w:rPr>
  </w:style>
  <w:style w:type="paragraph" w:styleId="Rodap">
    <w:name w:val="footer"/>
    <w:basedOn w:val="Normal"/>
    <w:link w:val="RodapChar2"/>
    <w:rsid w:val="00D31F40"/>
    <w:pPr>
      <w:tabs>
        <w:tab w:val="center" w:pos="4252"/>
        <w:tab w:val="right" w:pos="8504"/>
      </w:tabs>
    </w:pPr>
  </w:style>
  <w:style w:type="character" w:customStyle="1" w:styleId="RodapChar2">
    <w:name w:val="Rodapé Char2"/>
    <w:basedOn w:val="Fontepargpadro"/>
    <w:link w:val="Rodap"/>
    <w:rsid w:val="00D31F40"/>
    <w:rPr>
      <w:sz w:val="24"/>
      <w:szCs w:val="24"/>
    </w:rPr>
  </w:style>
  <w:style w:type="character" w:customStyle="1" w:styleId="TtuloChar">
    <w:name w:val="Título Char"/>
    <w:basedOn w:val="Fontepargpadro"/>
    <w:link w:val="Ttulo"/>
    <w:rsid w:val="003F72CE"/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2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99650F-E8FF-42BB-ABAA-4AB160F2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WinXP SP2 E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Patrícia Rogéria Huber Hertel</dc:creator>
  <dc:description/>
  <cp:lastModifiedBy>User</cp:lastModifiedBy>
  <cp:revision>50</cp:revision>
  <cp:lastPrinted>2024-02-07T13:22:00Z</cp:lastPrinted>
  <dcterms:created xsi:type="dcterms:W3CDTF">2022-12-06T19:40:00Z</dcterms:created>
  <dcterms:modified xsi:type="dcterms:W3CDTF">2024-04-30T19:37:00Z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